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AE" w:rsidRPr="00414F96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Уровень реализации образовательной программы</w:t>
      </w:r>
    </w:p>
    <w:p w:rsidR="004849AE" w:rsidRPr="00414F96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По образовательным областям на начало 20</w:t>
      </w:r>
      <w:r w:rsidR="00414F96" w:rsidRPr="00414F96">
        <w:rPr>
          <w:rFonts w:ascii="Times New Roman" w:hAnsi="Times New Roman"/>
          <w:b/>
          <w:sz w:val="28"/>
          <w:szCs w:val="28"/>
        </w:rPr>
        <w:t>21</w:t>
      </w:r>
      <w:r w:rsidRPr="00414F96">
        <w:rPr>
          <w:rFonts w:ascii="Times New Roman" w:hAnsi="Times New Roman"/>
          <w:b/>
          <w:sz w:val="28"/>
          <w:szCs w:val="28"/>
        </w:rPr>
        <w:t>-202</w:t>
      </w:r>
      <w:r w:rsidR="00414F96" w:rsidRPr="00414F96">
        <w:rPr>
          <w:rFonts w:ascii="Times New Roman" w:hAnsi="Times New Roman"/>
          <w:b/>
          <w:sz w:val="28"/>
          <w:szCs w:val="28"/>
        </w:rPr>
        <w:t>2</w:t>
      </w:r>
      <w:r w:rsidRPr="00414F96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4849AE" w:rsidRPr="00414F96" w:rsidRDefault="00414F96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младшие</w:t>
      </w:r>
      <w:r w:rsidR="004849AE" w:rsidRPr="00414F96">
        <w:rPr>
          <w:rFonts w:ascii="Times New Roman" w:hAnsi="Times New Roman"/>
          <w:b/>
          <w:sz w:val="28"/>
          <w:szCs w:val="28"/>
        </w:rPr>
        <w:t xml:space="preserve"> групп</w:t>
      </w:r>
      <w:r w:rsidRPr="00414F96">
        <w:rPr>
          <w:rFonts w:ascii="Times New Roman" w:hAnsi="Times New Roman"/>
          <w:b/>
          <w:sz w:val="28"/>
          <w:szCs w:val="28"/>
        </w:rPr>
        <w:t>ы</w:t>
      </w: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2366"/>
        <w:gridCol w:w="2132"/>
        <w:gridCol w:w="2124"/>
        <w:gridCol w:w="2132"/>
      </w:tblGrid>
      <w:tr w:rsidR="004849AE" w:rsidRPr="004849AE" w:rsidTr="00855A5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Направления развития ребенка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Ниже среднего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Выше среднего</w:t>
            </w:r>
          </w:p>
        </w:tc>
      </w:tr>
      <w:tr w:rsidR="004849AE" w:rsidRPr="004849AE" w:rsidTr="00855A5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Социально - коммуникативное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59%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27%</w:t>
            </w:r>
          </w:p>
        </w:tc>
      </w:tr>
      <w:tr w:rsidR="004849AE" w:rsidRPr="004849AE" w:rsidTr="00855A5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68%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</w:tr>
      <w:tr w:rsidR="004849AE" w:rsidRPr="004849AE" w:rsidTr="00855A5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Речевое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68%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</w:tr>
      <w:tr w:rsidR="004849AE" w:rsidRPr="004849AE" w:rsidTr="00855A5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Художественно – эстетическое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64%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27%</w:t>
            </w:r>
          </w:p>
        </w:tc>
      </w:tr>
      <w:tr w:rsidR="004849AE" w:rsidRPr="004849AE" w:rsidTr="00855A5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Физическое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6%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55%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41%</w:t>
            </w:r>
          </w:p>
        </w:tc>
      </w:tr>
    </w:tbl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72125" cy="3209925"/>
            <wp:effectExtent l="0" t="0" r="9525" b="9525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14F96" w:rsidRDefault="00414F96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14F96" w:rsidRDefault="00414F96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14F96" w:rsidRPr="004849AE" w:rsidRDefault="00414F96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14F96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lastRenderedPageBreak/>
        <w:t>Уровень реализации образовательной программы</w:t>
      </w:r>
    </w:p>
    <w:p w:rsidR="004849AE" w:rsidRPr="00414F96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По образовательным областям на конец 20</w:t>
      </w:r>
      <w:r w:rsidR="00414F96" w:rsidRPr="00414F96">
        <w:rPr>
          <w:rFonts w:ascii="Times New Roman" w:hAnsi="Times New Roman"/>
          <w:b/>
          <w:sz w:val="28"/>
          <w:szCs w:val="28"/>
        </w:rPr>
        <w:t>21</w:t>
      </w:r>
      <w:r w:rsidRPr="00414F96">
        <w:rPr>
          <w:rFonts w:ascii="Times New Roman" w:hAnsi="Times New Roman"/>
          <w:b/>
          <w:sz w:val="28"/>
          <w:szCs w:val="28"/>
        </w:rPr>
        <w:t>-202</w:t>
      </w:r>
      <w:r w:rsidR="00414F96" w:rsidRPr="00414F96">
        <w:rPr>
          <w:rFonts w:ascii="Times New Roman" w:hAnsi="Times New Roman"/>
          <w:b/>
          <w:sz w:val="28"/>
          <w:szCs w:val="28"/>
        </w:rPr>
        <w:t>2</w:t>
      </w:r>
      <w:r w:rsidRPr="00414F96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4849AE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Средн</w:t>
      </w:r>
      <w:r w:rsidR="00414F96" w:rsidRPr="00414F96">
        <w:rPr>
          <w:rFonts w:ascii="Times New Roman" w:hAnsi="Times New Roman"/>
          <w:b/>
          <w:sz w:val="28"/>
          <w:szCs w:val="28"/>
        </w:rPr>
        <w:t>ие группы</w:t>
      </w:r>
    </w:p>
    <w:p w:rsidR="00414F96" w:rsidRPr="00414F96" w:rsidRDefault="00414F96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2365"/>
        <w:gridCol w:w="2131"/>
        <w:gridCol w:w="2126"/>
        <w:gridCol w:w="2132"/>
      </w:tblGrid>
      <w:tr w:rsidR="004849AE" w:rsidRPr="004849AE" w:rsidTr="00855A5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Направления развития ребенка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Ниже среднего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Выше среднего</w:t>
            </w:r>
          </w:p>
        </w:tc>
      </w:tr>
      <w:tr w:rsidR="004849AE" w:rsidRPr="004849AE" w:rsidTr="00855A5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Социально - коммуникативное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55%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36%</w:t>
            </w:r>
          </w:p>
        </w:tc>
      </w:tr>
      <w:tr w:rsidR="004849AE" w:rsidRPr="004849AE" w:rsidTr="00855A5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64%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27%</w:t>
            </w:r>
          </w:p>
        </w:tc>
      </w:tr>
      <w:tr w:rsidR="004849AE" w:rsidRPr="004849AE" w:rsidTr="00855A5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Речевое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68%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23%</w:t>
            </w:r>
          </w:p>
        </w:tc>
      </w:tr>
      <w:tr w:rsidR="004849AE" w:rsidRPr="004849AE" w:rsidTr="00855A5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Художественно – эстетическое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58%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36%</w:t>
            </w:r>
          </w:p>
        </w:tc>
      </w:tr>
      <w:tr w:rsidR="004849AE" w:rsidRPr="004849AE" w:rsidTr="00855A5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Физическое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49%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45%</w:t>
            </w:r>
          </w:p>
        </w:tc>
      </w:tr>
    </w:tbl>
    <w:p w:rsidR="004849AE" w:rsidRPr="004849AE" w:rsidRDefault="004849AE" w:rsidP="004849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4849A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95925" cy="32099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849AE" w:rsidRPr="004849AE" w:rsidRDefault="004849AE" w:rsidP="004849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>Вывод: Мониторинг показал положительную динамику развития у детей по сравнению с началом учебного года. Сравнительный анализ результатов мониторинга в начале и в конце учебного года показывает рост усвоения детьми  программного материала, то есть прослеживается положительная динамика по всем образовательным областям.</w:t>
      </w:r>
    </w:p>
    <w:p w:rsidR="004849AE" w:rsidRPr="004849AE" w:rsidRDefault="004849AE" w:rsidP="004849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49AE" w:rsidRDefault="004849AE" w:rsidP="004849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414F96" w:rsidRDefault="00414F96" w:rsidP="004849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414F96" w:rsidRPr="004849AE" w:rsidRDefault="00414F96" w:rsidP="004849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49AE" w:rsidRPr="00414F96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Уровень реализации образовательной программы</w:t>
      </w:r>
    </w:p>
    <w:p w:rsidR="004849AE" w:rsidRPr="00414F96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По образовательным областям на конец 20</w:t>
      </w:r>
      <w:r w:rsidR="00414F96" w:rsidRPr="00414F96">
        <w:rPr>
          <w:rFonts w:ascii="Times New Roman" w:hAnsi="Times New Roman"/>
          <w:b/>
          <w:sz w:val="28"/>
          <w:szCs w:val="28"/>
        </w:rPr>
        <w:t>21</w:t>
      </w:r>
      <w:r w:rsidRPr="00414F96">
        <w:rPr>
          <w:rFonts w:ascii="Times New Roman" w:hAnsi="Times New Roman"/>
          <w:b/>
          <w:sz w:val="28"/>
          <w:szCs w:val="28"/>
        </w:rPr>
        <w:t>-202</w:t>
      </w:r>
      <w:r w:rsidR="00414F96" w:rsidRPr="00414F96">
        <w:rPr>
          <w:rFonts w:ascii="Times New Roman" w:hAnsi="Times New Roman"/>
          <w:b/>
          <w:sz w:val="28"/>
          <w:szCs w:val="28"/>
        </w:rPr>
        <w:t>2</w:t>
      </w:r>
      <w:r w:rsidRPr="00414F96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4849AE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Старш</w:t>
      </w:r>
      <w:r w:rsidR="00414F96" w:rsidRPr="00414F96">
        <w:rPr>
          <w:rFonts w:ascii="Times New Roman" w:hAnsi="Times New Roman"/>
          <w:b/>
          <w:sz w:val="28"/>
          <w:szCs w:val="28"/>
        </w:rPr>
        <w:t>ие</w:t>
      </w:r>
      <w:r w:rsidRPr="00414F96">
        <w:rPr>
          <w:rFonts w:ascii="Times New Roman" w:hAnsi="Times New Roman"/>
          <w:b/>
          <w:sz w:val="28"/>
          <w:szCs w:val="28"/>
        </w:rPr>
        <w:t xml:space="preserve"> групп</w:t>
      </w:r>
      <w:r w:rsidR="00414F96" w:rsidRPr="00414F96">
        <w:rPr>
          <w:rFonts w:ascii="Times New Roman" w:hAnsi="Times New Roman"/>
          <w:b/>
          <w:sz w:val="28"/>
          <w:szCs w:val="28"/>
        </w:rPr>
        <w:t>ы</w:t>
      </w:r>
    </w:p>
    <w:p w:rsidR="00414F96" w:rsidRPr="00414F96" w:rsidRDefault="00414F96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2365"/>
        <w:gridCol w:w="2131"/>
        <w:gridCol w:w="2127"/>
        <w:gridCol w:w="2131"/>
      </w:tblGrid>
      <w:tr w:rsidR="004849AE" w:rsidRPr="004849AE" w:rsidTr="00855A55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Направления развития ребенка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Ниже среднего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Выше среднего</w:t>
            </w:r>
          </w:p>
        </w:tc>
      </w:tr>
      <w:tr w:rsidR="004849AE" w:rsidRPr="004849AE" w:rsidTr="00855A55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Социально - коммуникативное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4849AE" w:rsidRPr="004849AE" w:rsidTr="00855A55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45%</w:t>
            </w:r>
          </w:p>
        </w:tc>
      </w:tr>
      <w:tr w:rsidR="004849AE" w:rsidRPr="004849AE" w:rsidTr="00855A55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Речевое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4849AE" w:rsidRPr="004849AE" w:rsidTr="00855A55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Художественно – эстетическое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60%</w:t>
            </w:r>
          </w:p>
        </w:tc>
      </w:tr>
      <w:tr w:rsidR="004849AE" w:rsidRPr="004849AE" w:rsidTr="00855A55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Физическое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70%</w:t>
            </w:r>
          </w:p>
        </w:tc>
      </w:tr>
    </w:tbl>
    <w:p w:rsidR="004849AE" w:rsidRPr="004849AE" w:rsidRDefault="004849AE" w:rsidP="004849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9AE" w:rsidRPr="004849AE" w:rsidRDefault="004849AE" w:rsidP="004849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9AE" w:rsidRPr="00414F96" w:rsidRDefault="004849AE" w:rsidP="00414F96">
      <w:pPr>
        <w:pStyle w:val="a3"/>
        <w:rPr>
          <w:rFonts w:ascii="Times New Roman" w:hAnsi="Times New Roman"/>
          <w:b/>
          <w:sz w:val="28"/>
          <w:szCs w:val="28"/>
        </w:rPr>
      </w:pPr>
      <w:r w:rsidRPr="004849A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95925" cy="32099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>Вывод: Выслеживается стабильная динамика роста детей с высоким уровнем развития и снижением низкого уровня развития детей.</w:t>
      </w: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>Все это произошло благодаря тесному сотрудничеству с родителями и педагогами, а так же правильно спланированной индивидуальной работе.</w:t>
      </w: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>Индивидуальная карта развития ребенка позволяет определить все стороны развития дошкольника</w:t>
      </w:r>
      <w:proofErr w:type="gramStart"/>
      <w:r w:rsidRPr="004849A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849AE">
        <w:rPr>
          <w:rFonts w:ascii="Times New Roman" w:hAnsi="Times New Roman"/>
          <w:sz w:val="28"/>
          <w:szCs w:val="28"/>
        </w:rPr>
        <w:t xml:space="preserve"> разработать индивидуальный маршрут сопровождения в ДОУ , организовать дифференцированную и целенаправленную </w:t>
      </w:r>
      <w:proofErr w:type="spellStart"/>
      <w:r w:rsidRPr="004849AE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4849AE">
        <w:rPr>
          <w:rFonts w:ascii="Times New Roman" w:hAnsi="Times New Roman"/>
          <w:sz w:val="28"/>
          <w:szCs w:val="28"/>
        </w:rPr>
        <w:t xml:space="preserve"> – развивающую работу по его выравниванию, объединив усилия всех специалистов  ДОУ.</w:t>
      </w: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>Примерная карта индивидуального раз</w:t>
      </w:r>
      <w:r w:rsidR="00311DFE">
        <w:rPr>
          <w:rFonts w:ascii="Times New Roman" w:hAnsi="Times New Roman"/>
          <w:sz w:val="28"/>
          <w:szCs w:val="28"/>
        </w:rPr>
        <w:t>вития ребенка (см. приложение</w:t>
      </w:r>
      <w:proofErr w:type="gramStart"/>
      <w:r w:rsidR="00311DFE">
        <w:rPr>
          <w:rFonts w:ascii="Times New Roman" w:hAnsi="Times New Roman"/>
          <w:sz w:val="28"/>
          <w:szCs w:val="28"/>
        </w:rPr>
        <w:t xml:space="preserve"> </w:t>
      </w:r>
      <w:r w:rsidRPr="004849AE">
        <w:rPr>
          <w:rFonts w:ascii="Times New Roman" w:hAnsi="Times New Roman"/>
          <w:sz w:val="28"/>
          <w:szCs w:val="28"/>
        </w:rPr>
        <w:t>)</w:t>
      </w:r>
      <w:proofErr w:type="gramEnd"/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>Вывод: в течении учебного года ребенок развивался, согласно возрасту и показал позитивную динамику по всем образовательным областям.</w:t>
      </w: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>Анализ заболеваемости детей подтверждает положительную динамику работы по охране и укреплению здоровья детей.</w:t>
      </w:r>
    </w:p>
    <w:tbl>
      <w:tblPr>
        <w:tblStyle w:val="a4"/>
        <w:tblW w:w="9616" w:type="dxa"/>
        <w:tblLook w:val="04A0"/>
      </w:tblPr>
      <w:tblGrid>
        <w:gridCol w:w="3205"/>
        <w:gridCol w:w="3205"/>
        <w:gridCol w:w="3206"/>
      </w:tblGrid>
      <w:tr w:rsidR="004849AE" w:rsidRPr="004849AE" w:rsidTr="00855A55">
        <w:trPr>
          <w:trHeight w:val="1202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Количество пропусков по болезни %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Количество часто болеющих воспитанников</w:t>
            </w:r>
          </w:p>
        </w:tc>
      </w:tr>
      <w:tr w:rsidR="004849AE" w:rsidRPr="004849AE" w:rsidTr="00855A55">
        <w:trPr>
          <w:trHeight w:val="568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414F96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20</w:t>
            </w:r>
            <w:r w:rsidR="00414F9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32%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12%</w:t>
            </w:r>
          </w:p>
        </w:tc>
      </w:tr>
      <w:tr w:rsidR="004849AE" w:rsidRPr="004849AE" w:rsidTr="00855A55">
        <w:trPr>
          <w:trHeight w:val="634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414F96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202</w:t>
            </w:r>
            <w:r w:rsidR="00414F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26%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</w:tbl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</w:p>
    <w:p w:rsidR="007F32F2" w:rsidRPr="004849AE" w:rsidRDefault="007F32F2">
      <w:pPr>
        <w:rPr>
          <w:rFonts w:ascii="Times New Roman" w:hAnsi="Times New Roman"/>
          <w:sz w:val="28"/>
          <w:szCs w:val="28"/>
        </w:rPr>
      </w:pPr>
    </w:p>
    <w:sectPr w:rsidR="007F32F2" w:rsidRPr="004849AE" w:rsidSect="007F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49AE"/>
    <w:rsid w:val="000367DA"/>
    <w:rsid w:val="00055CB0"/>
    <w:rsid w:val="00311DFE"/>
    <w:rsid w:val="00414F96"/>
    <w:rsid w:val="004849AE"/>
    <w:rsid w:val="005766EA"/>
    <w:rsid w:val="007A45AC"/>
    <w:rsid w:val="007F32F2"/>
    <w:rsid w:val="00A72882"/>
    <w:rsid w:val="00C53845"/>
    <w:rsid w:val="00D1596D"/>
    <w:rsid w:val="00EA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9AE"/>
    <w:pPr>
      <w:ind w:left="720"/>
      <w:contextualSpacing/>
    </w:pPr>
  </w:style>
  <w:style w:type="table" w:styleId="a4">
    <w:name w:val="Table Grid"/>
    <w:basedOn w:val="a1"/>
    <w:uiPriority w:val="59"/>
    <w:rsid w:val="00484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4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9AE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414F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0.12154380245848277"/>
          <c:y val="2.3314306342079746E-2"/>
          <c:w val="0.66586560241613835"/>
          <c:h val="0.5188722183366048"/>
        </c:manualLayout>
      </c:layout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среднего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0.14000000000000001</c:v>
                </c:pt>
                <c:pt idx="2">
                  <c:v>0.14000000000000001</c:v>
                </c:pt>
                <c:pt idx="3">
                  <c:v>9.0000000000000066E-2</c:v>
                </c:pt>
                <c:pt idx="4">
                  <c:v>6.000000000000006E-2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0.5900000000000003</c:v>
                </c:pt>
                <c:pt idx="1">
                  <c:v>0.68000000000000083</c:v>
                </c:pt>
                <c:pt idx="2">
                  <c:v>0.68000000000000083</c:v>
                </c:pt>
                <c:pt idx="3">
                  <c:v>0.64000000000000101</c:v>
                </c:pt>
                <c:pt idx="4">
                  <c:v>0.55000000000000004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выше среднего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0.27</c:v>
                </c:pt>
                <c:pt idx="1">
                  <c:v>0.18000000000000022</c:v>
                </c:pt>
                <c:pt idx="2">
                  <c:v>0.18000000000000022</c:v>
                </c:pt>
                <c:pt idx="3">
                  <c:v>0.27</c:v>
                </c:pt>
                <c:pt idx="4">
                  <c:v>0.41000000000000031</c:v>
                </c:pt>
              </c:numCache>
            </c:numRef>
          </c:val>
        </c:ser>
        <c:shape val="cylinder"/>
        <c:axId val="107340160"/>
        <c:axId val="107341696"/>
        <c:axId val="0"/>
      </c:bar3DChart>
      <c:catAx>
        <c:axId val="107340160"/>
        <c:scaling>
          <c:orientation val="minMax"/>
        </c:scaling>
        <c:axPos val="b"/>
        <c:numFmt formatCode="General" sourceLinked="0"/>
        <c:tickLblPos val="nextTo"/>
        <c:crossAx val="107341696"/>
        <c:crosses val="autoZero"/>
        <c:auto val="1"/>
        <c:lblAlgn val="ctr"/>
        <c:lblOffset val="100"/>
      </c:catAx>
      <c:valAx>
        <c:axId val="107341696"/>
        <c:scaling>
          <c:orientation val="minMax"/>
        </c:scaling>
        <c:axPos val="l"/>
        <c:majorGridlines/>
        <c:numFmt formatCode="0%" sourceLinked="1"/>
        <c:tickLblPos val="nextTo"/>
        <c:crossAx val="10734016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стеднего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9.0000000000000024E-2</c:v>
                </c:pt>
                <c:pt idx="1">
                  <c:v>9.0000000000000024E-2</c:v>
                </c:pt>
                <c:pt idx="2">
                  <c:v>9.0000000000000024E-2</c:v>
                </c:pt>
                <c:pt idx="3">
                  <c:v>6.0000000000000032E-2</c:v>
                </c:pt>
                <c:pt idx="4">
                  <c:v>6.0000000000000032E-2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0.64000000000000101</c:v>
                </c:pt>
                <c:pt idx="2">
                  <c:v>0.68</c:v>
                </c:pt>
                <c:pt idx="3">
                  <c:v>0.58000000000000007</c:v>
                </c:pt>
                <c:pt idx="4">
                  <c:v>0.49000000000000032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выше среднего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0.36000000000000032</c:v>
                </c:pt>
                <c:pt idx="1">
                  <c:v>0.27</c:v>
                </c:pt>
                <c:pt idx="2">
                  <c:v>0.23</c:v>
                </c:pt>
                <c:pt idx="3">
                  <c:v>0.36000000000000032</c:v>
                </c:pt>
                <c:pt idx="4">
                  <c:v>0.45</c:v>
                </c:pt>
              </c:numCache>
            </c:numRef>
          </c:val>
        </c:ser>
        <c:shape val="cylinder"/>
        <c:axId val="92421120"/>
        <c:axId val="107041536"/>
        <c:axId val="0"/>
      </c:bar3DChart>
      <c:catAx>
        <c:axId val="92421120"/>
        <c:scaling>
          <c:orientation val="minMax"/>
        </c:scaling>
        <c:axPos val="b"/>
        <c:numFmt formatCode="General" sourceLinked="0"/>
        <c:tickLblPos val="nextTo"/>
        <c:crossAx val="107041536"/>
        <c:crosses val="autoZero"/>
        <c:auto val="1"/>
        <c:lblAlgn val="ctr"/>
        <c:lblOffset val="100"/>
      </c:catAx>
      <c:valAx>
        <c:axId val="107041536"/>
        <c:scaling>
          <c:orientation val="minMax"/>
        </c:scaling>
        <c:axPos val="l"/>
        <c:majorGridlines/>
        <c:numFmt formatCode="0%" sourceLinked="1"/>
        <c:tickLblPos val="nextTo"/>
        <c:crossAx val="924211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среднего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</c:v>
                </c:pt>
                <c:pt idx="1">
                  <c:v>0.5</c:v>
                </c:pt>
                <c:pt idx="2">
                  <c:v>0.60000000000000064</c:v>
                </c:pt>
                <c:pt idx="3">
                  <c:v>0.4</c:v>
                </c:pt>
                <c:pt idx="4">
                  <c:v>0.30000000000000032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Выше среднего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0.5</c:v>
                </c:pt>
                <c:pt idx="1">
                  <c:v>0.45</c:v>
                </c:pt>
                <c:pt idx="2">
                  <c:v>0.4</c:v>
                </c:pt>
                <c:pt idx="3">
                  <c:v>0.60000000000000064</c:v>
                </c:pt>
                <c:pt idx="4">
                  <c:v>0.70000000000000062</c:v>
                </c:pt>
              </c:numCache>
            </c:numRef>
          </c:val>
        </c:ser>
        <c:shape val="cylinder"/>
        <c:axId val="49244032"/>
        <c:axId val="49245568"/>
        <c:axId val="0"/>
      </c:bar3DChart>
      <c:catAx>
        <c:axId val="49244032"/>
        <c:scaling>
          <c:orientation val="minMax"/>
        </c:scaling>
        <c:axPos val="b"/>
        <c:numFmt formatCode="General" sourceLinked="0"/>
        <c:tickLblPos val="nextTo"/>
        <c:crossAx val="49245568"/>
        <c:crosses val="autoZero"/>
        <c:auto val="1"/>
        <c:lblAlgn val="ctr"/>
        <c:lblOffset val="100"/>
      </c:catAx>
      <c:valAx>
        <c:axId val="49245568"/>
        <c:scaling>
          <c:orientation val="minMax"/>
        </c:scaling>
        <c:axPos val="l"/>
        <c:majorGridlines/>
        <c:numFmt formatCode="0%" sourceLinked="1"/>
        <c:tickLblPos val="nextTo"/>
        <c:crossAx val="4924403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1998</Characters>
  <Application>Microsoft Office Word</Application>
  <DocSecurity>0</DocSecurity>
  <Lines>16</Lines>
  <Paragraphs>4</Paragraphs>
  <ScaleCrop>false</ScaleCrop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ООО</cp:lastModifiedBy>
  <cp:revision>2</cp:revision>
  <dcterms:created xsi:type="dcterms:W3CDTF">2022-12-21T06:40:00Z</dcterms:created>
  <dcterms:modified xsi:type="dcterms:W3CDTF">2022-12-21T06:40:00Z</dcterms:modified>
</cp:coreProperties>
</file>