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490A" w:rsidRP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57490A">
        <w:rPr>
          <w:rFonts w:ascii="Times New Roman" w:hAnsi="Times New Roman" w:cs="Times New Roman"/>
          <w:b/>
          <w:sz w:val="28"/>
          <w:shd w:val="clear" w:color="auto" w:fill="FFFFFF"/>
        </w:rPr>
        <w:t>Информация о средствах обучения и воспитания</w:t>
      </w:r>
    </w:p>
    <w:p w:rsid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490A" w:rsidRDefault="0057490A" w:rsidP="0057490A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490A" w:rsidRP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>Основное средство обучения и воспитания в ДОУ – это единое информационно-развивающее пространство детского сада. Для самостоятельной деятельности детей в группах приобретены развивающие пособия, игры, конструкторы, а также предметы детского творчества.</w:t>
      </w:r>
      <w:r w:rsidRPr="0057490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Развивающая среда дошкольного учреждения строится в соответствии с программой «От рождения до школы» под редакцией Н.Е. </w:t>
      </w:r>
      <w:proofErr w:type="spellStart"/>
      <w:r w:rsidRPr="0057490A">
        <w:rPr>
          <w:rFonts w:ascii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57490A">
        <w:rPr>
          <w:rFonts w:ascii="Times New Roman" w:hAnsi="Times New Roman" w:cs="Times New Roman"/>
          <w:sz w:val="28"/>
          <w:szCs w:val="28"/>
          <w:lang w:eastAsia="ru-RU"/>
        </w:rPr>
        <w:t>, Т.С.Комаровой, М.А.Васильевой:</w:t>
      </w:r>
    </w:p>
    <w:p w:rsidR="0057490A" w:rsidRPr="0057490A" w:rsidRDefault="0057490A" w:rsidP="0057490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>адекватность среды, т.е. ее соответствие вводимым в образовательный процесс программно-методическим комплексам;</w:t>
      </w:r>
    </w:p>
    <w:p w:rsidR="0057490A" w:rsidRPr="0057490A" w:rsidRDefault="0057490A" w:rsidP="0057490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>полнота среды, что предусматривает обеспечение ее содержания для всех видов деятельности ребенка и в частности речевой;</w:t>
      </w:r>
    </w:p>
    <w:p w:rsidR="0057490A" w:rsidRPr="0057490A" w:rsidRDefault="0057490A" w:rsidP="0057490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7490A">
        <w:rPr>
          <w:rFonts w:ascii="Times New Roman" w:hAnsi="Times New Roman" w:cs="Times New Roman"/>
          <w:sz w:val="28"/>
          <w:szCs w:val="28"/>
          <w:lang w:eastAsia="ru-RU"/>
        </w:rPr>
        <w:t>деятельностно</w:t>
      </w:r>
      <w:proofErr w:type="spellEnd"/>
      <w:r w:rsidRPr="0057490A">
        <w:rPr>
          <w:rFonts w:ascii="Times New Roman" w:hAnsi="Times New Roman" w:cs="Times New Roman"/>
          <w:sz w:val="28"/>
          <w:szCs w:val="28"/>
          <w:lang w:eastAsia="ru-RU"/>
        </w:rPr>
        <w:t xml:space="preserve"> - возрастная организация среды, что подразумевает постепенное ее обогащение и развертывание соответственно развитию возможностей детей;</w:t>
      </w:r>
    </w:p>
    <w:p w:rsidR="0057490A" w:rsidRPr="0057490A" w:rsidRDefault="0057490A" w:rsidP="0057490A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>динамичность, что предполагает возможность быстрого изменения среды, исходя из интересов и потребностей детей.</w:t>
      </w:r>
    </w:p>
    <w:p w:rsidR="0057490A" w:rsidRDefault="0057490A" w:rsidP="0057490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Среда является важным фактором воспитания и развития ребенка. Оборудование помещений дошкольного учреждения должно быть безопасным, </w:t>
      </w:r>
      <w:proofErr w:type="spellStart"/>
      <w:r w:rsidRPr="0057490A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57490A">
        <w:rPr>
          <w:rFonts w:ascii="Times New Roman" w:hAnsi="Times New Roman" w:cs="Times New Roman"/>
          <w:sz w:val="28"/>
          <w:szCs w:val="28"/>
          <w:lang w:eastAsia="ru-RU"/>
        </w:rPr>
        <w:t>, эстетически привлекательным и развивающим. Мебель должна соответствовать росту и возрасту детей, игрушки - обеспечивать максимальный для данного возраста развивающий эффект.</w:t>
      </w:r>
      <w:r w:rsidRPr="0057490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Пространство группы организовано в виде различных центров, оснащенных большим количеством развивающих материалов (книги, игрушки, материалы для творчества, развивающее оборудование и пр.). </w:t>
      </w:r>
    </w:p>
    <w:p w:rsidR="0057490A" w:rsidRDefault="0057490A" w:rsidP="0057490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>Все игры и пособия  доступны детям. 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</w:t>
      </w:r>
    </w:p>
    <w:p w:rsidR="0057490A" w:rsidRPr="0057490A" w:rsidRDefault="0057490A" w:rsidP="0057490A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индивидуальных особенностей детей.</w:t>
      </w:r>
      <w:r w:rsidRPr="0057490A">
        <w:rPr>
          <w:rFonts w:ascii="Times New Roman" w:hAnsi="Times New Roman" w:cs="Times New Roman"/>
          <w:sz w:val="28"/>
          <w:szCs w:val="28"/>
          <w:lang w:eastAsia="ru-RU"/>
        </w:rPr>
        <w:br/>
        <w:t>Оснащение центров в группах меняется в соответствии с тематическим планированием образовательного процесса.</w:t>
      </w:r>
      <w:r w:rsidRPr="0057490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57490A">
        <w:rPr>
          <w:rFonts w:ascii="Times New Roman" w:hAnsi="Times New Roman" w:cs="Times New Roman"/>
          <w:sz w:val="28"/>
          <w:szCs w:val="28"/>
          <w:lang w:eastAsia="ru-RU"/>
        </w:rPr>
        <w:t>В группах созданы все условия для самостоятельной двигательной активности детей: предусмотрена площадь, свободная от мебели, в группах есть игрушки, побуждающие к двигательной игровой деятельности (обручи, скакалки).</w:t>
      </w:r>
    </w:p>
    <w:p w:rsidR="0057490A" w:rsidRP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>Средства обучени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и воспитания, используемые в М</w:t>
      </w:r>
      <w:r w:rsidRPr="0057490A">
        <w:rPr>
          <w:rFonts w:ascii="Times New Roman" w:hAnsi="Times New Roman" w:cs="Times New Roman"/>
          <w:sz w:val="28"/>
          <w:szCs w:val="28"/>
          <w:lang w:eastAsia="ru-RU"/>
        </w:rPr>
        <w:t>БДОУ:</w:t>
      </w:r>
    </w:p>
    <w:p w:rsidR="0057490A" w:rsidRP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 xml:space="preserve">печатные (книги, хрестоматии,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490A">
        <w:rPr>
          <w:rFonts w:ascii="Times New Roman" w:hAnsi="Times New Roman" w:cs="Times New Roman"/>
          <w:sz w:val="28"/>
          <w:szCs w:val="28"/>
          <w:lang w:eastAsia="ru-RU"/>
        </w:rPr>
        <w:t>раздаточный материал, пособия и.т.д.);</w:t>
      </w:r>
    </w:p>
    <w:p w:rsidR="0057490A" w:rsidRP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>электронные образовательные ресурсы;</w:t>
      </w:r>
    </w:p>
    <w:p w:rsidR="0057490A" w:rsidRP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>аудиовизуальные (слайды, видеофильмы);</w:t>
      </w:r>
    </w:p>
    <w:p w:rsidR="0057490A" w:rsidRP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t>наглядные плоскостные (плакаты, карты, магнитные доски);</w:t>
      </w:r>
    </w:p>
    <w:p w:rsidR="0057490A" w:rsidRP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490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демонстрационные (гербарии, муляжи, макеты, стенды);</w:t>
      </w:r>
    </w:p>
    <w:p w:rsidR="0057490A" w:rsidRP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7490A" w:rsidRPr="0057490A" w:rsidRDefault="0057490A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PDD"/>
      <w:bookmarkEnd w:id="0"/>
      <w:r w:rsidRPr="0057490A">
        <w:rPr>
          <w:rFonts w:ascii="Times New Roman" w:hAnsi="Times New Roman" w:cs="Times New Roman"/>
          <w:sz w:val="28"/>
          <w:szCs w:val="28"/>
          <w:lang w:eastAsia="ru-RU"/>
        </w:rPr>
        <w:t>В соответствии с Паспортом дорожной безопасности учреждением приобретаются игровые и методические пособия, посвященные тематике "Дорожная безопасность", что позволяет педагогам более эффективно проводить игровые тематические занятия.</w:t>
      </w:r>
    </w:p>
    <w:tbl>
      <w:tblPr>
        <w:tblW w:w="993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8"/>
      </w:tblGrid>
      <w:tr w:rsidR="0057490A" w:rsidRPr="0057490A" w:rsidTr="0057490A">
        <w:trPr>
          <w:tblCellSpacing w:w="0" w:type="dxa"/>
        </w:trPr>
        <w:tc>
          <w:tcPr>
            <w:tcW w:w="9938" w:type="dxa"/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b/>
                <w:bCs/>
                <w:noProof/>
                <w:color w:val="549200"/>
                <w:sz w:val="28"/>
                <w:szCs w:val="28"/>
                <w:bdr w:val="single" w:sz="6" w:space="4" w:color="999999" w:frame="1"/>
                <w:lang w:eastAsia="ru-RU"/>
              </w:rPr>
              <w:drawing>
                <wp:inline distT="0" distB="0" distL="0" distR="0">
                  <wp:extent cx="954405" cy="715645"/>
                  <wp:effectExtent l="19050" t="0" r="0" b="0"/>
                  <wp:docPr id="1" name="Рисунок 1" descr="Изображение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зображение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Демонстрационный материал "Соблюдай правила дорожного движения!". Демонстрационный материал позволит научить юных пешеходов правильно ориентироваться и вести себя в различных дорожных ситуациях. Его можно использовать для более углублённого изучения дорожных знаков и Правил дорожного движения, а также как учебное пособие при изучении курса "ОБЖ".</w:t>
            </w:r>
          </w:p>
        </w:tc>
      </w:tr>
      <w:tr w:rsidR="0057490A" w:rsidRPr="0057490A" w:rsidTr="0057490A">
        <w:trPr>
          <w:tblCellSpacing w:w="0" w:type="dxa"/>
        </w:trPr>
        <w:tc>
          <w:tcPr>
            <w:tcW w:w="9938" w:type="dxa"/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b/>
                <w:bCs/>
                <w:noProof/>
                <w:color w:val="549200"/>
                <w:sz w:val="28"/>
                <w:szCs w:val="28"/>
                <w:bdr w:val="single" w:sz="6" w:space="4" w:color="999999" w:frame="1"/>
                <w:lang w:eastAsia="ru-RU"/>
              </w:rPr>
              <w:drawing>
                <wp:inline distT="0" distB="0" distL="0" distR="0">
                  <wp:extent cx="954405" cy="715645"/>
                  <wp:effectExtent l="19050" t="0" r="0" b="0"/>
                  <wp:docPr id="2" name="Рисунок 2" descr="Изображение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зображение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Демонстрационный материал (плакаты) "Дорожная безопасность". Пособие для воспитателей, педагогов и родителей. Материал познакомит детей с правилами безопасности на дорогах и проезжей части: ребята еще раз вспомнят о значении светофора, пешеходного перехода, познакомятся с дорожными знаками.</w:t>
            </w:r>
          </w:p>
        </w:tc>
      </w:tr>
      <w:tr w:rsidR="0057490A" w:rsidRPr="0057490A" w:rsidTr="0057490A">
        <w:trPr>
          <w:tblCellSpacing w:w="0" w:type="dxa"/>
        </w:trPr>
        <w:tc>
          <w:tcPr>
            <w:tcW w:w="9938" w:type="dxa"/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b/>
                <w:bCs/>
                <w:noProof/>
                <w:color w:val="549200"/>
                <w:sz w:val="28"/>
                <w:szCs w:val="28"/>
                <w:bdr w:val="single" w:sz="6" w:space="4" w:color="999999" w:frame="1"/>
                <w:lang w:eastAsia="ru-RU"/>
              </w:rPr>
              <w:drawing>
                <wp:inline distT="0" distB="0" distL="0" distR="0">
                  <wp:extent cx="954405" cy="715645"/>
                  <wp:effectExtent l="19050" t="0" r="0" b="0"/>
                  <wp:docPr id="3" name="Рисунок 3" descr="Изображение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Изображение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Демонстрационный материал  "Дорожная безопасность</w:t>
            </w:r>
            <w:proofErr w:type="gramStart"/>
            <w:r w:rsidRPr="005749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"в</w:t>
            </w:r>
            <w:proofErr w:type="gramEnd"/>
            <w:r w:rsidRPr="005749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наглядной форме рассказывает малышу об основных дорожных ситуациях и правилах поведения.</w:t>
            </w:r>
          </w:p>
        </w:tc>
      </w:tr>
      <w:tr w:rsidR="0057490A" w:rsidRPr="0057490A" w:rsidTr="0057490A">
        <w:trPr>
          <w:tblCellSpacing w:w="0" w:type="dxa"/>
        </w:trPr>
        <w:tc>
          <w:tcPr>
            <w:tcW w:w="9938" w:type="dxa"/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b/>
                <w:bCs/>
                <w:noProof/>
                <w:color w:val="549200"/>
                <w:sz w:val="28"/>
                <w:szCs w:val="28"/>
                <w:bdr w:val="single" w:sz="6" w:space="4" w:color="999999" w:frame="1"/>
                <w:lang w:eastAsia="ru-RU"/>
              </w:rPr>
              <w:drawing>
                <wp:inline distT="0" distB="0" distL="0" distR="0">
                  <wp:extent cx="954405" cy="715645"/>
                  <wp:effectExtent l="19050" t="0" r="0" b="0"/>
                  <wp:docPr id="4" name="Рисунок 4" descr="Изображение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Изображение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Игровые пособия для тематических занятий "Дорожная безопасность"</w:t>
            </w:r>
          </w:p>
        </w:tc>
      </w:tr>
      <w:tr w:rsidR="0057490A" w:rsidRPr="0057490A" w:rsidTr="0057490A">
        <w:trPr>
          <w:tblCellSpacing w:w="0" w:type="dxa"/>
        </w:trPr>
        <w:tc>
          <w:tcPr>
            <w:tcW w:w="9938" w:type="dxa"/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b/>
                <w:bCs/>
                <w:noProof/>
                <w:color w:val="549200"/>
                <w:sz w:val="28"/>
                <w:szCs w:val="28"/>
                <w:bdr w:val="single" w:sz="6" w:space="4" w:color="999999" w:frame="1"/>
                <w:lang w:eastAsia="ru-RU"/>
              </w:rPr>
              <w:lastRenderedPageBreak/>
              <w:drawing>
                <wp:inline distT="0" distB="0" distL="0" distR="0">
                  <wp:extent cx="954405" cy="715645"/>
                  <wp:effectExtent l="19050" t="0" r="0" b="0"/>
                  <wp:docPr id="5" name="Рисунок 5" descr="Изображение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Изображение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Игровые пособия для тематических занятий "Дорожная безопасность"</w:t>
            </w:r>
          </w:p>
        </w:tc>
      </w:tr>
      <w:tr w:rsidR="0057490A" w:rsidRPr="0057490A" w:rsidTr="0057490A">
        <w:trPr>
          <w:tblCellSpacing w:w="0" w:type="dxa"/>
        </w:trPr>
        <w:tc>
          <w:tcPr>
            <w:tcW w:w="9938" w:type="dxa"/>
            <w:shd w:val="clear" w:color="auto" w:fill="FFFFFF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b/>
                <w:bCs/>
                <w:noProof/>
                <w:color w:val="549200"/>
                <w:sz w:val="28"/>
                <w:szCs w:val="28"/>
                <w:bdr w:val="single" w:sz="6" w:space="4" w:color="999999" w:frame="1"/>
                <w:lang w:eastAsia="ru-RU"/>
              </w:rPr>
              <w:drawing>
                <wp:inline distT="0" distB="0" distL="0" distR="0">
                  <wp:extent cx="954405" cy="715645"/>
                  <wp:effectExtent l="19050" t="0" r="0" b="0"/>
                  <wp:docPr id="6" name="Рисунок 6" descr="Детский игровой комплект &quot;Азбука дорожного движения&quot;.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етский игровой комплект &quot;Азбука дорожного движения&quot;.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490A" w:rsidRPr="0057490A" w:rsidRDefault="0057490A" w:rsidP="0057490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490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Детский игровой комплект "Азбука дорожного движения". Игра представляет собой набор легких, ярких, легко моющихся материалов по правилам дорожного движения. Обучающая игра "Азбука дорожного движения" помогает детям изучить основные правила и навыки поведения на улице, учит ориентироваться в разнообразных ситуациях на дороге. Игра способствует расширению у детей представлений об окружающем мире, развитию внимания, памяти и самоконтроля.</w:t>
            </w:r>
          </w:p>
        </w:tc>
      </w:tr>
    </w:tbl>
    <w:p w:rsidR="00A02F37" w:rsidRPr="0057490A" w:rsidRDefault="00A02F37" w:rsidP="0057490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02F37" w:rsidRPr="0057490A" w:rsidSect="005749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5D6"/>
    <w:multiLevelType w:val="multilevel"/>
    <w:tmpl w:val="8322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0154E"/>
    <w:multiLevelType w:val="hybridMultilevel"/>
    <w:tmpl w:val="0666BC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832FF0"/>
    <w:multiLevelType w:val="multilevel"/>
    <w:tmpl w:val="030C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7490A"/>
    <w:rsid w:val="0057490A"/>
    <w:rsid w:val="00A0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90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749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7440">
              <w:marLeft w:val="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6309">
              <w:marLeft w:val="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300">
              <w:marLeft w:val="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2049">
              <w:marLeft w:val="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884">
              <w:marLeft w:val="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4194">
              <w:marLeft w:val="15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doy86.caduk.ru/images/p81_pddn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y86.caduk.ru/images/p81_pdd4.jpg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y86.caduk.ru/images/p81_pdd6.jpg" TargetMode="External"/><Relationship Id="rId5" Type="http://schemas.openxmlformats.org/officeDocument/2006/relationships/hyperlink" Target="https://doy86.caduk.ru/images/p81_pdd3.jpg" TargetMode="External"/><Relationship Id="rId15" Type="http://schemas.openxmlformats.org/officeDocument/2006/relationships/hyperlink" Target="https://doy86.caduk.ru/images/p81_detskiyigrovoykomplektazbukadorojnogodvijeiya_3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doy86.caduk.ru/images/p81_pdd5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2022-12-13T10:53:00Z</dcterms:created>
  <dcterms:modified xsi:type="dcterms:W3CDTF">2022-12-13T11:00:00Z</dcterms:modified>
</cp:coreProperties>
</file>